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80213" w14:textId="77777777" w:rsidR="00105A8B" w:rsidRPr="00A73793" w:rsidRDefault="00105A8B" w:rsidP="00105A8B">
      <w:pPr>
        <w:spacing w:before="120"/>
        <w:ind w:left="567"/>
        <w:jc w:val="both"/>
        <w:rPr>
          <w:rStyle w:val="markedcontent"/>
          <w:rFonts w:ascii="Times New Roman" w:hAnsi="Times New Roman"/>
        </w:rPr>
      </w:pPr>
      <w:bookmarkStart w:id="0" w:name="_GoBack"/>
      <w:bookmarkEnd w:id="0"/>
      <w:r w:rsidRPr="00A73793">
        <w:rPr>
          <w:rFonts w:ascii="Times New Roman" w:hAnsi="Times New Roman"/>
          <w:b/>
          <w:szCs w:val="24"/>
        </w:rPr>
        <w:t>Az előrehozott idegen nyelvi érettségi letételéhez szükséges osztályozóvizsga szabályai</w:t>
      </w:r>
    </w:p>
    <w:p w14:paraId="26F4610E" w14:textId="77777777" w:rsidR="00105A8B" w:rsidRPr="00A73793" w:rsidRDefault="00105A8B" w:rsidP="00105A8B">
      <w:pPr>
        <w:ind w:left="567"/>
        <w:jc w:val="both"/>
        <w:rPr>
          <w:rStyle w:val="markedcontent"/>
          <w:rFonts w:ascii="Times New Roman" w:hAnsi="Times New Roman"/>
        </w:rPr>
      </w:pPr>
      <w:r w:rsidRPr="00A73793">
        <w:rPr>
          <w:rStyle w:val="markedcontent"/>
          <w:rFonts w:ascii="Times New Roman" w:hAnsi="Times New Roman"/>
        </w:rPr>
        <w:t>Előrehozott érettségi vizsgát a tanuló a tanulói jogviszony fennállása alatt, az érettségi bizonyítvány megszerzése előtt idegen nyelvekből, kizárólag a középiskolai tanulmányok teljes befejezését megelőző első vagy második tanév vizsgaidőszakaiban tehet.</w:t>
      </w:r>
    </w:p>
    <w:p w14:paraId="083C1AE0" w14:textId="77777777" w:rsidR="00105A8B" w:rsidRPr="00A73793" w:rsidRDefault="00105A8B" w:rsidP="00105A8B">
      <w:pPr>
        <w:spacing w:before="120" w:line="276" w:lineRule="auto"/>
        <w:ind w:left="567"/>
        <w:jc w:val="both"/>
        <w:rPr>
          <w:rFonts w:ascii="Times New Roman" w:hAnsi="Times New Roman"/>
          <w:szCs w:val="24"/>
        </w:rPr>
      </w:pPr>
      <w:r w:rsidRPr="00A73793">
        <w:rPr>
          <w:rFonts w:ascii="Times New Roman" w:hAnsi="Times New Roman"/>
          <w:szCs w:val="24"/>
        </w:rPr>
        <w:t xml:space="preserve">A szabályozás tehát idegen nyelvből lehetővé teszi azt, hogy a középiskolás diák először egy középszintű vizsgaeredményt szerezzen, majd –további felkészülés után –egy későbbi vizsgaidőszakban szintemelő vizsgával emelt szintű vizsgaeredménye is lehessen. Amennyiben előrehozott vizsgaként először egy emelt szintű vizsgaeredményt szerez a tanuló, akkor az érettségi bizonyítvány megszerzéséig ugyanabból a vizsgatárgyból középszintű vizsgára már nem jelentkezhet A sikertelen előrehozott érettségi vizsga vagy a középiskolai tanulmányok teljes befejezését megelőzően tett sikertelen szintemelő érettségi vizsga esetében az adott vizsgatárgyból javító vizsgára legkorábban csak a rendes érettségi vizsga vizsgaidőszakában lehet jelentkezni. </w:t>
      </w:r>
    </w:p>
    <w:p w14:paraId="04DFAD1D" w14:textId="77777777" w:rsidR="00105A8B" w:rsidRPr="00A73793" w:rsidRDefault="00105A8B" w:rsidP="00105A8B">
      <w:pPr>
        <w:spacing w:before="120" w:line="276" w:lineRule="auto"/>
        <w:ind w:left="567"/>
        <w:jc w:val="both"/>
        <w:rPr>
          <w:rFonts w:ascii="Times New Roman" w:hAnsi="Times New Roman"/>
          <w:szCs w:val="24"/>
        </w:rPr>
      </w:pPr>
      <w:r w:rsidRPr="00A73793">
        <w:rPr>
          <w:rFonts w:ascii="Times New Roman" w:hAnsi="Times New Roman"/>
          <w:szCs w:val="24"/>
        </w:rPr>
        <w:t>Az előrehozott érettségi vizsgára a felkészülés plusz terhet és időt jelent. A felkészülés más tantárgyak rovására nem mehet, emiatt tanórákon való részvétel és készülés alól felmentést nem kaphat a diák.</w:t>
      </w:r>
    </w:p>
    <w:p w14:paraId="1400EBAF" w14:textId="77777777" w:rsidR="00105A8B" w:rsidRPr="00A73793" w:rsidRDefault="00105A8B" w:rsidP="00105A8B">
      <w:pPr>
        <w:spacing w:before="120" w:line="276" w:lineRule="auto"/>
        <w:ind w:left="567"/>
        <w:jc w:val="both"/>
        <w:rPr>
          <w:rStyle w:val="markedcontent"/>
          <w:rFonts w:ascii="Times New Roman" w:hAnsi="Times New Roman"/>
        </w:rPr>
      </w:pPr>
      <w:r w:rsidRPr="00A73793">
        <w:rPr>
          <w:rStyle w:val="markedcontent"/>
          <w:rFonts w:ascii="Times New Roman" w:hAnsi="Times New Roman"/>
        </w:rPr>
        <w:t>Az osztályozóvizsgára minden diáknak egy iskolai jelentkezési lapon kell jelentkeznie. Kiskorú tanuló esetén a jelentkezési lapot a szülőnek is alá kell írnia. A vizsgát az igazgató engedélyezi. Az előrehozott érettségihez szükséges osztályozóvizsgára minden tanévben egyszer van lehetőség, a vizsgára március 20. és április 10. között kerül sor. Annak a tanulónak is ekkor kell vizsgáznia, aki a következő őszi érettségi vizsgaidőszakban tesz előrehozott érettségit.</w:t>
      </w:r>
    </w:p>
    <w:p w14:paraId="025E4A41" w14:textId="77777777" w:rsidR="00105A8B" w:rsidRPr="00A73793" w:rsidRDefault="00105A8B" w:rsidP="00105A8B">
      <w:pPr>
        <w:spacing w:before="120" w:line="276" w:lineRule="auto"/>
        <w:ind w:left="567"/>
        <w:jc w:val="both"/>
        <w:rPr>
          <w:rStyle w:val="markedcontent"/>
          <w:rFonts w:ascii="Times New Roman" w:hAnsi="Times New Roman"/>
        </w:rPr>
      </w:pPr>
      <w:r w:rsidRPr="00A73793">
        <w:rPr>
          <w:rStyle w:val="markedcontent"/>
          <w:rFonts w:ascii="Times New Roman" w:hAnsi="Times New Roman"/>
        </w:rPr>
        <w:t>A gimnáziumi képzésben résztvevők a 10. évfolyam május-júniusi vizsgaidőszakában tehetnek először előrehozott érettségit, a technikumi képzésben tanulók a 11. évfolyam október-novemberi vizsgaidőszakában. Az osztályozóvizsgát mindkét képzési formában tanuló diákjaink ugyanabban az időpontban teszik le, ugyanabból a tananyagból.</w:t>
      </w:r>
    </w:p>
    <w:p w14:paraId="7653637F" w14:textId="77777777" w:rsidR="00105A8B" w:rsidRPr="00A73793" w:rsidRDefault="00105A8B" w:rsidP="00105A8B">
      <w:pPr>
        <w:spacing w:before="120" w:line="276" w:lineRule="auto"/>
        <w:ind w:left="567"/>
        <w:jc w:val="both"/>
        <w:rPr>
          <w:rStyle w:val="markedcontent"/>
          <w:rFonts w:ascii="Times New Roman" w:hAnsi="Times New Roman"/>
        </w:rPr>
      </w:pPr>
      <w:r w:rsidRPr="00A73793">
        <w:rPr>
          <w:rStyle w:val="markedcontent"/>
          <w:rFonts w:ascii="Times New Roman" w:hAnsi="Times New Roman"/>
        </w:rPr>
        <w:t>A technikumi képzésben tanulókra vonatkozó külön szabályok, hogy egy tanuló esetében az előrehozott vizsgák száma összességében nem haladhatja meg a hármat, azaz aki élt ezzel a három lehetőséggel, az – az esetleges szintemelő és pótló vizsgák kivételével – a többi érettségi vizsgáját csak a 13. évfolyam végén, rendes vizsgaként teheti le, illetve hogy az érettségi vizsga megkezdésének, azaz már az első előrehozott vizsgának is további feltétele az 50 óra közösségi szolgálat teljesítése.</w:t>
      </w:r>
    </w:p>
    <w:p w14:paraId="781CEEB4" w14:textId="77777777" w:rsidR="00105A8B" w:rsidRPr="001B54EF" w:rsidRDefault="00105A8B" w:rsidP="001B54EF">
      <w:pPr>
        <w:spacing w:before="120" w:line="276" w:lineRule="auto"/>
        <w:ind w:left="567"/>
        <w:jc w:val="both"/>
        <w:rPr>
          <w:rStyle w:val="markedcontent"/>
          <w:rFonts w:ascii="Times New Roman" w:hAnsi="Times New Roman"/>
        </w:rPr>
      </w:pPr>
      <w:r w:rsidRPr="00A73793">
        <w:rPr>
          <w:rStyle w:val="markedcontent"/>
          <w:rFonts w:ascii="Times New Roman" w:hAnsi="Times New Roman"/>
        </w:rPr>
        <w:t>Az osztályozóvizsgával a 11., 12., valamint technikumi képzés esetén a 13. év anyagából szereznek osztályzatot az érintett tanulók. Azoknak javasolt az előrehozott érettségi vizsga idegen nyelvből, akik B2 komplex nyelvvizsgával rendelkeznek, vagy felkészültségük és tudásuk megvan ahhoz, hogy sikeres B2 komplex nyelvvizsgát tegyenek. Aki az osztályozóvizsga időpontjában rendelkezik az adott nyelvből ilyen nyelvvizsgával, mentesül az írásbeli feladatsor „Íráskészség” feladatrészének megírása alól.</w:t>
      </w:r>
    </w:p>
    <w:p w14:paraId="08FE71FF" w14:textId="77777777" w:rsidR="00105A8B" w:rsidRPr="00A73793" w:rsidRDefault="00105A8B" w:rsidP="00105A8B">
      <w:pPr>
        <w:spacing w:after="120" w:line="276" w:lineRule="auto"/>
        <w:ind w:left="567"/>
        <w:jc w:val="center"/>
        <w:rPr>
          <w:rStyle w:val="markedcontent"/>
          <w:rFonts w:ascii="Times New Roman" w:hAnsi="Times New Roman"/>
          <w:b/>
          <w:u w:val="single"/>
        </w:rPr>
      </w:pPr>
      <w:r w:rsidRPr="00A73793">
        <w:rPr>
          <w:rStyle w:val="markedcontent"/>
          <w:rFonts w:ascii="Times New Roman" w:hAnsi="Times New Roman"/>
          <w:b/>
          <w:u w:val="single"/>
        </w:rPr>
        <w:t>Az osztályozóvizsgára való jelentkezés feltételei 10. évfolyamon tanulók esetén:</w:t>
      </w:r>
    </w:p>
    <w:p w14:paraId="2467E7D4" w14:textId="27C8EAB1" w:rsidR="001B54EF" w:rsidRDefault="00105A8B" w:rsidP="001B54EF">
      <w:pPr>
        <w:spacing w:before="120" w:line="276" w:lineRule="auto"/>
        <w:ind w:left="567"/>
        <w:rPr>
          <w:rStyle w:val="markedcontent"/>
          <w:rFonts w:ascii="Times New Roman" w:hAnsi="Times New Roman"/>
          <w:b/>
          <w:u w:val="single"/>
        </w:rPr>
      </w:pPr>
      <w:r w:rsidRPr="00A73793">
        <w:rPr>
          <w:rStyle w:val="markedcontent"/>
          <w:rFonts w:ascii="Times New Roman" w:hAnsi="Times New Roman"/>
        </w:rPr>
        <w:t>Az adott idegen nyelvből a tanuló 10. félévi, 9. év végi, illetve 9. félévi eredményének átlaga legalább jó (4), és legalább B2-es nyelvi szintű tankönyvből tanuló csoportba jár órára</w:t>
      </w:r>
      <w:r w:rsidR="00EC08C4">
        <w:rPr>
          <w:rStyle w:val="markedcontent"/>
          <w:rFonts w:ascii="Times New Roman" w:hAnsi="Times New Roman"/>
        </w:rPr>
        <w:t xml:space="preserve">, vagy legalább B2-es </w:t>
      </w:r>
      <w:r w:rsidR="00C92B74">
        <w:rPr>
          <w:rStyle w:val="markedcontent"/>
          <w:rFonts w:ascii="Times New Roman" w:hAnsi="Times New Roman"/>
        </w:rPr>
        <w:t xml:space="preserve">nyelvi szintű </w:t>
      </w:r>
      <w:r w:rsidR="00EC08C4">
        <w:rPr>
          <w:rStyle w:val="markedcontent"/>
          <w:rFonts w:ascii="Times New Roman" w:hAnsi="Times New Roman"/>
        </w:rPr>
        <w:t>komplex nyelvvizsgával rendelkezik.</w:t>
      </w:r>
      <w:r w:rsidR="001B54EF">
        <w:rPr>
          <w:rStyle w:val="markedcontent"/>
          <w:rFonts w:ascii="Times New Roman" w:hAnsi="Times New Roman"/>
          <w:b/>
          <w:u w:val="single"/>
        </w:rPr>
        <w:br w:type="page"/>
      </w:r>
    </w:p>
    <w:p w14:paraId="41357F97" w14:textId="77777777" w:rsidR="00105A8B" w:rsidRPr="00A73793" w:rsidRDefault="00105A8B" w:rsidP="00105A8B">
      <w:pPr>
        <w:spacing w:before="120" w:after="120" w:line="276" w:lineRule="auto"/>
        <w:ind w:left="567"/>
        <w:jc w:val="center"/>
        <w:rPr>
          <w:rStyle w:val="markedcontent"/>
          <w:rFonts w:ascii="Times New Roman" w:hAnsi="Times New Roman"/>
          <w:b/>
          <w:u w:val="single"/>
        </w:rPr>
      </w:pPr>
      <w:r w:rsidRPr="00A73793">
        <w:rPr>
          <w:rStyle w:val="markedcontent"/>
          <w:rFonts w:ascii="Times New Roman" w:hAnsi="Times New Roman"/>
          <w:b/>
          <w:u w:val="single"/>
        </w:rPr>
        <w:lastRenderedPageBreak/>
        <w:t>Az osztályozóvizsgára való jelentkezés feltételei 11. évfolyamon tanulók esetén:</w:t>
      </w:r>
    </w:p>
    <w:p w14:paraId="3C6C99F3" w14:textId="58305644" w:rsidR="00105A8B" w:rsidRPr="00A73793" w:rsidRDefault="00105A8B" w:rsidP="00105A8B">
      <w:pPr>
        <w:spacing w:line="276" w:lineRule="auto"/>
        <w:ind w:left="567"/>
        <w:rPr>
          <w:rFonts w:ascii="Times New Roman" w:hAnsi="Times New Roman"/>
          <w:szCs w:val="24"/>
        </w:rPr>
      </w:pPr>
      <w:r w:rsidRPr="00A73793">
        <w:rPr>
          <w:rStyle w:val="markedcontent"/>
          <w:rFonts w:ascii="Times New Roman" w:hAnsi="Times New Roman"/>
        </w:rPr>
        <w:t>Az adott idegen nyelvből a tanuló 11. félévi, 10. év végi, illetve 9. év végi eredményének átlaga legalább jó (4)</w:t>
      </w:r>
      <w:r w:rsidR="007364F5">
        <w:rPr>
          <w:rStyle w:val="markedcontent"/>
          <w:rFonts w:ascii="Times New Roman" w:hAnsi="Times New Roman"/>
        </w:rPr>
        <w:t xml:space="preserve">, és legalább B2-es </w:t>
      </w:r>
      <w:r w:rsidR="007364F5" w:rsidRPr="00A73793">
        <w:rPr>
          <w:rStyle w:val="markedcontent"/>
          <w:rFonts w:ascii="Times New Roman" w:hAnsi="Times New Roman"/>
        </w:rPr>
        <w:t>tankönyvből tanuló csoportba jár órára</w:t>
      </w:r>
      <w:r w:rsidRPr="00A73793">
        <w:rPr>
          <w:rStyle w:val="markedcontent"/>
          <w:rFonts w:ascii="Times New Roman" w:hAnsi="Times New Roman"/>
        </w:rPr>
        <w:t xml:space="preserve">, </w:t>
      </w:r>
      <w:r w:rsidR="007364F5">
        <w:rPr>
          <w:rStyle w:val="markedcontent"/>
          <w:rFonts w:ascii="Times New Roman" w:hAnsi="Times New Roman"/>
        </w:rPr>
        <w:t xml:space="preserve">vagy rendelkezik </w:t>
      </w:r>
      <w:r w:rsidRPr="00A73793">
        <w:rPr>
          <w:rStyle w:val="markedcontent"/>
          <w:rFonts w:ascii="Times New Roman" w:hAnsi="Times New Roman"/>
        </w:rPr>
        <w:t xml:space="preserve">legalább B2-es nyelvi szintű </w:t>
      </w:r>
      <w:r w:rsidR="00C92B74">
        <w:rPr>
          <w:rStyle w:val="markedcontent"/>
          <w:rFonts w:ascii="Times New Roman" w:hAnsi="Times New Roman"/>
        </w:rPr>
        <w:t xml:space="preserve">komplex </w:t>
      </w:r>
      <w:r w:rsidR="007364F5">
        <w:rPr>
          <w:rStyle w:val="markedcontent"/>
          <w:rFonts w:ascii="Times New Roman" w:hAnsi="Times New Roman"/>
        </w:rPr>
        <w:t xml:space="preserve">nyelvvizsgával. </w:t>
      </w:r>
    </w:p>
    <w:p w14:paraId="2D5ACDCE" w14:textId="77777777" w:rsidR="00105A8B" w:rsidRPr="00A73793" w:rsidRDefault="00105A8B" w:rsidP="00105A8B">
      <w:pPr>
        <w:spacing w:before="120" w:line="276" w:lineRule="auto"/>
        <w:ind w:left="567"/>
        <w:rPr>
          <w:rStyle w:val="markedcontent"/>
          <w:rFonts w:ascii="Times New Roman" w:hAnsi="Times New Roman"/>
        </w:rPr>
      </w:pPr>
      <w:r w:rsidRPr="00A73793">
        <w:rPr>
          <w:rStyle w:val="markedcontent"/>
          <w:rFonts w:ascii="Times New Roman" w:hAnsi="Times New Roman"/>
        </w:rPr>
        <w:t>A vizsga értékelése az alábbiak szerint történik:</w:t>
      </w:r>
    </w:p>
    <w:tbl>
      <w:tblPr>
        <w:tblStyle w:val="Rcsostblzat"/>
        <w:tblW w:w="0" w:type="auto"/>
        <w:tblInd w:w="1303" w:type="dxa"/>
        <w:tblLook w:val="04A0" w:firstRow="1" w:lastRow="0" w:firstColumn="1" w:lastColumn="0" w:noHBand="0" w:noVBand="1"/>
      </w:tblPr>
      <w:tblGrid>
        <w:gridCol w:w="456"/>
        <w:gridCol w:w="296"/>
        <w:gridCol w:w="1228"/>
        <w:gridCol w:w="1701"/>
      </w:tblGrid>
      <w:tr w:rsidR="00105A8B" w:rsidRPr="00452090" w14:paraId="0DFB86E9" w14:textId="77777777" w:rsidTr="008F310E">
        <w:trPr>
          <w:trHeight w:val="285"/>
        </w:trPr>
        <w:tc>
          <w:tcPr>
            <w:tcW w:w="456" w:type="dxa"/>
            <w:noWrap/>
            <w:hideMark/>
          </w:tcPr>
          <w:p w14:paraId="0F96191A" w14:textId="77777777" w:rsidR="00105A8B" w:rsidRPr="00452090" w:rsidRDefault="00105A8B" w:rsidP="008F310E">
            <w:pPr>
              <w:jc w:val="right"/>
              <w:rPr>
                <w:rFonts w:ascii="Times New Roman" w:hAnsi="Times New Roman"/>
                <w:b/>
                <w:bCs/>
                <w:szCs w:val="24"/>
              </w:rPr>
            </w:pPr>
            <w:r w:rsidRPr="00452090">
              <w:rPr>
                <w:rFonts w:ascii="Times New Roman" w:hAnsi="Times New Roman"/>
                <w:b/>
                <w:bCs/>
                <w:szCs w:val="24"/>
              </w:rPr>
              <w:t>0</w:t>
            </w:r>
          </w:p>
        </w:tc>
        <w:tc>
          <w:tcPr>
            <w:tcW w:w="296" w:type="dxa"/>
            <w:noWrap/>
            <w:hideMark/>
          </w:tcPr>
          <w:p w14:paraId="0C4DB5F1" w14:textId="77777777" w:rsidR="00105A8B" w:rsidRPr="00452090" w:rsidRDefault="00105A8B" w:rsidP="008F310E">
            <w:pPr>
              <w:jc w:val="both"/>
              <w:rPr>
                <w:rFonts w:ascii="Times New Roman" w:hAnsi="Times New Roman"/>
                <w:b/>
                <w:bCs/>
                <w:szCs w:val="24"/>
              </w:rPr>
            </w:pPr>
            <w:r w:rsidRPr="00452090">
              <w:rPr>
                <w:rFonts w:ascii="Times New Roman" w:hAnsi="Times New Roman"/>
                <w:b/>
                <w:bCs/>
                <w:szCs w:val="24"/>
              </w:rPr>
              <w:t>-</w:t>
            </w:r>
          </w:p>
        </w:tc>
        <w:tc>
          <w:tcPr>
            <w:tcW w:w="1228" w:type="dxa"/>
            <w:noWrap/>
            <w:hideMark/>
          </w:tcPr>
          <w:p w14:paraId="1C499A92" w14:textId="77777777" w:rsidR="00105A8B" w:rsidRPr="00452090" w:rsidRDefault="00105A8B" w:rsidP="008F310E">
            <w:pPr>
              <w:jc w:val="both"/>
              <w:rPr>
                <w:rFonts w:ascii="Times New Roman" w:hAnsi="Times New Roman"/>
                <w:b/>
                <w:bCs/>
                <w:szCs w:val="24"/>
              </w:rPr>
            </w:pPr>
            <w:r w:rsidRPr="00452090">
              <w:rPr>
                <w:rFonts w:ascii="Times New Roman" w:hAnsi="Times New Roman"/>
                <w:b/>
                <w:bCs/>
                <w:szCs w:val="24"/>
              </w:rPr>
              <w:t>39,9 %</w:t>
            </w:r>
          </w:p>
        </w:tc>
        <w:tc>
          <w:tcPr>
            <w:tcW w:w="1701" w:type="dxa"/>
            <w:noWrap/>
            <w:hideMark/>
          </w:tcPr>
          <w:p w14:paraId="4EBB9979" w14:textId="77777777" w:rsidR="00105A8B" w:rsidRPr="00452090" w:rsidRDefault="00105A8B" w:rsidP="008F310E">
            <w:pPr>
              <w:jc w:val="both"/>
              <w:rPr>
                <w:rFonts w:ascii="Times New Roman" w:hAnsi="Times New Roman"/>
                <w:b/>
                <w:bCs/>
                <w:szCs w:val="24"/>
              </w:rPr>
            </w:pPr>
            <w:r w:rsidRPr="00452090">
              <w:rPr>
                <w:rFonts w:ascii="Times New Roman" w:hAnsi="Times New Roman"/>
                <w:b/>
                <w:bCs/>
                <w:szCs w:val="24"/>
              </w:rPr>
              <w:t>elégtelen (1)</w:t>
            </w:r>
          </w:p>
        </w:tc>
      </w:tr>
      <w:tr w:rsidR="00105A8B" w:rsidRPr="00452090" w14:paraId="6F845236" w14:textId="77777777" w:rsidTr="008F310E">
        <w:trPr>
          <w:trHeight w:val="285"/>
        </w:trPr>
        <w:tc>
          <w:tcPr>
            <w:tcW w:w="456" w:type="dxa"/>
            <w:noWrap/>
            <w:hideMark/>
          </w:tcPr>
          <w:p w14:paraId="057344DB" w14:textId="77777777" w:rsidR="00105A8B" w:rsidRPr="00452090" w:rsidRDefault="00105A8B" w:rsidP="008F310E">
            <w:pPr>
              <w:jc w:val="both"/>
              <w:rPr>
                <w:rFonts w:ascii="Times New Roman" w:hAnsi="Times New Roman"/>
                <w:b/>
                <w:bCs/>
                <w:szCs w:val="24"/>
              </w:rPr>
            </w:pPr>
            <w:r w:rsidRPr="00452090">
              <w:rPr>
                <w:rFonts w:ascii="Times New Roman" w:hAnsi="Times New Roman"/>
                <w:b/>
                <w:bCs/>
                <w:szCs w:val="24"/>
              </w:rPr>
              <w:t>40</w:t>
            </w:r>
          </w:p>
        </w:tc>
        <w:tc>
          <w:tcPr>
            <w:tcW w:w="296" w:type="dxa"/>
            <w:noWrap/>
            <w:hideMark/>
          </w:tcPr>
          <w:p w14:paraId="32253F7B" w14:textId="77777777" w:rsidR="00105A8B" w:rsidRPr="00452090" w:rsidRDefault="00105A8B" w:rsidP="008F310E">
            <w:pPr>
              <w:jc w:val="both"/>
              <w:rPr>
                <w:rFonts w:ascii="Times New Roman" w:hAnsi="Times New Roman"/>
                <w:b/>
                <w:bCs/>
                <w:szCs w:val="24"/>
              </w:rPr>
            </w:pPr>
            <w:r w:rsidRPr="00452090">
              <w:rPr>
                <w:rFonts w:ascii="Times New Roman" w:hAnsi="Times New Roman"/>
                <w:b/>
                <w:bCs/>
                <w:szCs w:val="24"/>
              </w:rPr>
              <w:t>-</w:t>
            </w:r>
          </w:p>
        </w:tc>
        <w:tc>
          <w:tcPr>
            <w:tcW w:w="1228" w:type="dxa"/>
            <w:noWrap/>
            <w:hideMark/>
          </w:tcPr>
          <w:p w14:paraId="5A0114D1" w14:textId="77777777" w:rsidR="00105A8B" w:rsidRPr="00452090" w:rsidRDefault="00105A8B" w:rsidP="008F310E">
            <w:pPr>
              <w:jc w:val="both"/>
              <w:rPr>
                <w:rFonts w:ascii="Times New Roman" w:hAnsi="Times New Roman"/>
                <w:b/>
                <w:bCs/>
                <w:szCs w:val="24"/>
              </w:rPr>
            </w:pPr>
            <w:r w:rsidRPr="00452090">
              <w:rPr>
                <w:rFonts w:ascii="Times New Roman" w:hAnsi="Times New Roman"/>
                <w:b/>
                <w:bCs/>
                <w:szCs w:val="24"/>
              </w:rPr>
              <w:t>54,9 %</w:t>
            </w:r>
          </w:p>
        </w:tc>
        <w:tc>
          <w:tcPr>
            <w:tcW w:w="1701" w:type="dxa"/>
            <w:noWrap/>
            <w:hideMark/>
          </w:tcPr>
          <w:p w14:paraId="76888C89" w14:textId="77777777" w:rsidR="00105A8B" w:rsidRPr="00452090" w:rsidRDefault="00105A8B" w:rsidP="008F310E">
            <w:pPr>
              <w:jc w:val="both"/>
              <w:rPr>
                <w:rFonts w:ascii="Times New Roman" w:hAnsi="Times New Roman"/>
                <w:b/>
                <w:bCs/>
                <w:szCs w:val="24"/>
              </w:rPr>
            </w:pPr>
            <w:r w:rsidRPr="00452090">
              <w:rPr>
                <w:rFonts w:ascii="Times New Roman" w:hAnsi="Times New Roman"/>
                <w:b/>
                <w:bCs/>
                <w:szCs w:val="24"/>
              </w:rPr>
              <w:t>elégséges (2)</w:t>
            </w:r>
          </w:p>
        </w:tc>
      </w:tr>
      <w:tr w:rsidR="00105A8B" w:rsidRPr="00452090" w14:paraId="0A7D2C62" w14:textId="77777777" w:rsidTr="008F310E">
        <w:trPr>
          <w:trHeight w:val="285"/>
        </w:trPr>
        <w:tc>
          <w:tcPr>
            <w:tcW w:w="456" w:type="dxa"/>
            <w:noWrap/>
            <w:hideMark/>
          </w:tcPr>
          <w:p w14:paraId="4252D7EE" w14:textId="77777777" w:rsidR="00105A8B" w:rsidRPr="00452090" w:rsidRDefault="00105A8B" w:rsidP="008F310E">
            <w:pPr>
              <w:jc w:val="both"/>
              <w:rPr>
                <w:rFonts w:ascii="Times New Roman" w:hAnsi="Times New Roman"/>
                <w:b/>
                <w:bCs/>
                <w:szCs w:val="24"/>
              </w:rPr>
            </w:pPr>
            <w:r w:rsidRPr="00452090">
              <w:rPr>
                <w:rFonts w:ascii="Times New Roman" w:hAnsi="Times New Roman"/>
                <w:b/>
                <w:bCs/>
                <w:szCs w:val="24"/>
              </w:rPr>
              <w:t>55</w:t>
            </w:r>
          </w:p>
        </w:tc>
        <w:tc>
          <w:tcPr>
            <w:tcW w:w="296" w:type="dxa"/>
            <w:noWrap/>
            <w:hideMark/>
          </w:tcPr>
          <w:p w14:paraId="7F32981A" w14:textId="77777777" w:rsidR="00105A8B" w:rsidRPr="00452090" w:rsidRDefault="00105A8B" w:rsidP="008F310E">
            <w:pPr>
              <w:jc w:val="both"/>
              <w:rPr>
                <w:rFonts w:ascii="Times New Roman" w:hAnsi="Times New Roman"/>
                <w:b/>
                <w:bCs/>
                <w:szCs w:val="24"/>
              </w:rPr>
            </w:pPr>
            <w:r w:rsidRPr="00452090">
              <w:rPr>
                <w:rFonts w:ascii="Times New Roman" w:hAnsi="Times New Roman"/>
                <w:b/>
                <w:bCs/>
                <w:szCs w:val="24"/>
              </w:rPr>
              <w:t>-</w:t>
            </w:r>
          </w:p>
        </w:tc>
        <w:tc>
          <w:tcPr>
            <w:tcW w:w="1228" w:type="dxa"/>
            <w:noWrap/>
            <w:hideMark/>
          </w:tcPr>
          <w:p w14:paraId="53022B0F" w14:textId="77777777" w:rsidR="00105A8B" w:rsidRPr="00452090" w:rsidRDefault="00105A8B" w:rsidP="008F310E">
            <w:pPr>
              <w:jc w:val="both"/>
              <w:rPr>
                <w:rFonts w:ascii="Times New Roman" w:hAnsi="Times New Roman"/>
                <w:b/>
                <w:bCs/>
                <w:szCs w:val="24"/>
              </w:rPr>
            </w:pPr>
            <w:r w:rsidRPr="00452090">
              <w:rPr>
                <w:rFonts w:ascii="Times New Roman" w:hAnsi="Times New Roman"/>
                <w:b/>
                <w:bCs/>
                <w:szCs w:val="24"/>
              </w:rPr>
              <w:t>69,9 %</w:t>
            </w:r>
          </w:p>
        </w:tc>
        <w:tc>
          <w:tcPr>
            <w:tcW w:w="1701" w:type="dxa"/>
            <w:noWrap/>
            <w:hideMark/>
          </w:tcPr>
          <w:p w14:paraId="153AC3FB" w14:textId="77777777" w:rsidR="00105A8B" w:rsidRPr="00452090" w:rsidRDefault="00105A8B" w:rsidP="008F310E">
            <w:pPr>
              <w:jc w:val="both"/>
              <w:rPr>
                <w:rFonts w:ascii="Times New Roman" w:hAnsi="Times New Roman"/>
                <w:b/>
                <w:bCs/>
                <w:szCs w:val="24"/>
              </w:rPr>
            </w:pPr>
            <w:r w:rsidRPr="00452090">
              <w:rPr>
                <w:rFonts w:ascii="Times New Roman" w:hAnsi="Times New Roman"/>
                <w:b/>
                <w:bCs/>
                <w:szCs w:val="24"/>
              </w:rPr>
              <w:t>közepes (3)</w:t>
            </w:r>
          </w:p>
        </w:tc>
      </w:tr>
      <w:tr w:rsidR="00105A8B" w:rsidRPr="00452090" w14:paraId="2B651F71" w14:textId="77777777" w:rsidTr="008F310E">
        <w:trPr>
          <w:trHeight w:val="285"/>
        </w:trPr>
        <w:tc>
          <w:tcPr>
            <w:tcW w:w="456" w:type="dxa"/>
            <w:noWrap/>
            <w:hideMark/>
          </w:tcPr>
          <w:p w14:paraId="7F1C67EA" w14:textId="77777777" w:rsidR="00105A8B" w:rsidRPr="00452090" w:rsidRDefault="00105A8B" w:rsidP="008F310E">
            <w:pPr>
              <w:jc w:val="both"/>
              <w:rPr>
                <w:rFonts w:ascii="Times New Roman" w:hAnsi="Times New Roman"/>
                <w:b/>
                <w:bCs/>
                <w:szCs w:val="24"/>
              </w:rPr>
            </w:pPr>
            <w:r w:rsidRPr="00452090">
              <w:rPr>
                <w:rFonts w:ascii="Times New Roman" w:hAnsi="Times New Roman"/>
                <w:b/>
                <w:bCs/>
                <w:szCs w:val="24"/>
              </w:rPr>
              <w:t>70</w:t>
            </w:r>
          </w:p>
        </w:tc>
        <w:tc>
          <w:tcPr>
            <w:tcW w:w="296" w:type="dxa"/>
            <w:noWrap/>
            <w:hideMark/>
          </w:tcPr>
          <w:p w14:paraId="7FCB84AC" w14:textId="77777777" w:rsidR="00105A8B" w:rsidRPr="00452090" w:rsidRDefault="00105A8B" w:rsidP="008F310E">
            <w:pPr>
              <w:jc w:val="both"/>
              <w:rPr>
                <w:rFonts w:ascii="Times New Roman" w:hAnsi="Times New Roman"/>
                <w:b/>
                <w:bCs/>
                <w:szCs w:val="24"/>
              </w:rPr>
            </w:pPr>
            <w:r w:rsidRPr="00452090">
              <w:rPr>
                <w:rFonts w:ascii="Times New Roman" w:hAnsi="Times New Roman"/>
                <w:b/>
                <w:bCs/>
                <w:szCs w:val="24"/>
              </w:rPr>
              <w:t>-</w:t>
            </w:r>
          </w:p>
        </w:tc>
        <w:tc>
          <w:tcPr>
            <w:tcW w:w="1228" w:type="dxa"/>
            <w:noWrap/>
            <w:hideMark/>
          </w:tcPr>
          <w:p w14:paraId="3DADC6AD" w14:textId="77777777" w:rsidR="00105A8B" w:rsidRPr="00452090" w:rsidRDefault="00105A8B" w:rsidP="008F310E">
            <w:pPr>
              <w:jc w:val="both"/>
              <w:rPr>
                <w:rFonts w:ascii="Times New Roman" w:hAnsi="Times New Roman"/>
                <w:b/>
                <w:bCs/>
                <w:szCs w:val="24"/>
              </w:rPr>
            </w:pPr>
            <w:r w:rsidRPr="00452090">
              <w:rPr>
                <w:rFonts w:ascii="Times New Roman" w:hAnsi="Times New Roman"/>
                <w:b/>
                <w:bCs/>
                <w:szCs w:val="24"/>
              </w:rPr>
              <w:t>84,9 %</w:t>
            </w:r>
          </w:p>
        </w:tc>
        <w:tc>
          <w:tcPr>
            <w:tcW w:w="1701" w:type="dxa"/>
            <w:noWrap/>
            <w:hideMark/>
          </w:tcPr>
          <w:p w14:paraId="4EABAEFE" w14:textId="77777777" w:rsidR="00105A8B" w:rsidRPr="00452090" w:rsidRDefault="00105A8B" w:rsidP="008F310E">
            <w:pPr>
              <w:jc w:val="both"/>
              <w:rPr>
                <w:rFonts w:ascii="Times New Roman" w:hAnsi="Times New Roman"/>
                <w:b/>
                <w:bCs/>
                <w:szCs w:val="24"/>
              </w:rPr>
            </w:pPr>
            <w:r w:rsidRPr="00452090">
              <w:rPr>
                <w:rFonts w:ascii="Times New Roman" w:hAnsi="Times New Roman"/>
                <w:b/>
                <w:bCs/>
                <w:szCs w:val="24"/>
              </w:rPr>
              <w:t>jó (4)</w:t>
            </w:r>
          </w:p>
        </w:tc>
      </w:tr>
      <w:tr w:rsidR="00105A8B" w:rsidRPr="00452090" w14:paraId="72ADA1B1" w14:textId="77777777" w:rsidTr="008F310E">
        <w:trPr>
          <w:trHeight w:val="285"/>
        </w:trPr>
        <w:tc>
          <w:tcPr>
            <w:tcW w:w="456" w:type="dxa"/>
            <w:noWrap/>
            <w:hideMark/>
          </w:tcPr>
          <w:p w14:paraId="6173EB5F" w14:textId="77777777" w:rsidR="00105A8B" w:rsidRPr="00452090" w:rsidRDefault="00105A8B" w:rsidP="008F310E">
            <w:pPr>
              <w:jc w:val="both"/>
              <w:rPr>
                <w:rFonts w:ascii="Times New Roman" w:hAnsi="Times New Roman"/>
                <w:b/>
                <w:bCs/>
                <w:szCs w:val="24"/>
              </w:rPr>
            </w:pPr>
            <w:r w:rsidRPr="00452090">
              <w:rPr>
                <w:rFonts w:ascii="Times New Roman" w:hAnsi="Times New Roman"/>
                <w:b/>
                <w:bCs/>
                <w:szCs w:val="24"/>
              </w:rPr>
              <w:t>85</w:t>
            </w:r>
          </w:p>
        </w:tc>
        <w:tc>
          <w:tcPr>
            <w:tcW w:w="296" w:type="dxa"/>
            <w:noWrap/>
            <w:hideMark/>
          </w:tcPr>
          <w:p w14:paraId="371973A1" w14:textId="77777777" w:rsidR="00105A8B" w:rsidRPr="00452090" w:rsidRDefault="00105A8B" w:rsidP="008F310E">
            <w:pPr>
              <w:jc w:val="both"/>
              <w:rPr>
                <w:rFonts w:ascii="Times New Roman" w:hAnsi="Times New Roman"/>
                <w:b/>
                <w:bCs/>
                <w:szCs w:val="24"/>
              </w:rPr>
            </w:pPr>
            <w:r w:rsidRPr="00452090">
              <w:rPr>
                <w:rFonts w:ascii="Times New Roman" w:hAnsi="Times New Roman"/>
                <w:b/>
                <w:bCs/>
                <w:szCs w:val="24"/>
              </w:rPr>
              <w:t>-</w:t>
            </w:r>
          </w:p>
        </w:tc>
        <w:tc>
          <w:tcPr>
            <w:tcW w:w="1228" w:type="dxa"/>
            <w:noWrap/>
            <w:hideMark/>
          </w:tcPr>
          <w:p w14:paraId="6675B257" w14:textId="77777777" w:rsidR="00105A8B" w:rsidRPr="00452090" w:rsidRDefault="00105A8B" w:rsidP="008F310E">
            <w:pPr>
              <w:jc w:val="both"/>
              <w:rPr>
                <w:rFonts w:ascii="Times New Roman" w:hAnsi="Times New Roman"/>
                <w:b/>
                <w:bCs/>
                <w:szCs w:val="24"/>
              </w:rPr>
            </w:pPr>
            <w:r w:rsidRPr="00452090">
              <w:rPr>
                <w:rFonts w:ascii="Times New Roman" w:hAnsi="Times New Roman"/>
                <w:b/>
                <w:bCs/>
                <w:szCs w:val="24"/>
              </w:rPr>
              <w:t>100 %</w:t>
            </w:r>
          </w:p>
        </w:tc>
        <w:tc>
          <w:tcPr>
            <w:tcW w:w="1701" w:type="dxa"/>
            <w:noWrap/>
            <w:hideMark/>
          </w:tcPr>
          <w:p w14:paraId="4C479F0D" w14:textId="77777777" w:rsidR="00105A8B" w:rsidRPr="00452090" w:rsidRDefault="00105A8B" w:rsidP="008F310E">
            <w:pPr>
              <w:jc w:val="both"/>
              <w:rPr>
                <w:rFonts w:ascii="Times New Roman" w:hAnsi="Times New Roman"/>
                <w:b/>
                <w:bCs/>
                <w:szCs w:val="24"/>
              </w:rPr>
            </w:pPr>
            <w:r w:rsidRPr="00452090">
              <w:rPr>
                <w:rFonts w:ascii="Times New Roman" w:hAnsi="Times New Roman"/>
                <w:b/>
                <w:bCs/>
                <w:szCs w:val="24"/>
              </w:rPr>
              <w:t>jeles (5)</w:t>
            </w:r>
          </w:p>
        </w:tc>
      </w:tr>
    </w:tbl>
    <w:p w14:paraId="0A20F9B1" w14:textId="77777777" w:rsidR="00105A8B" w:rsidRPr="00A73793" w:rsidRDefault="00105A8B" w:rsidP="00105A8B">
      <w:pPr>
        <w:spacing w:before="120" w:line="276" w:lineRule="auto"/>
        <w:ind w:left="567"/>
        <w:jc w:val="both"/>
        <w:rPr>
          <w:rStyle w:val="markedcontent"/>
          <w:rFonts w:ascii="Times New Roman" w:hAnsi="Times New Roman"/>
        </w:rPr>
      </w:pPr>
      <w:r w:rsidRPr="00A73793">
        <w:rPr>
          <w:rStyle w:val="markedcontent"/>
          <w:rFonts w:ascii="Times New Roman" w:hAnsi="Times New Roman"/>
        </w:rPr>
        <w:t>Az osztályozó vizsga érdemjegyén változtatni nem lehet! Az osztályozóvizsgáról jegyzőkönyvet kell vezetni. A vizsga eredményét a törzslapba és a bizonyítványba a megfelelő záradékkal be kell vezetni.</w:t>
      </w:r>
    </w:p>
    <w:p w14:paraId="2E17AE7A" w14:textId="48268C9F" w:rsidR="00105A8B" w:rsidRPr="00A73793" w:rsidRDefault="00105A8B" w:rsidP="00105A8B">
      <w:pPr>
        <w:spacing w:before="120" w:line="276" w:lineRule="auto"/>
        <w:ind w:left="567"/>
        <w:jc w:val="both"/>
        <w:rPr>
          <w:rStyle w:val="markedcontent"/>
          <w:rFonts w:ascii="Times New Roman" w:hAnsi="Times New Roman"/>
        </w:rPr>
      </w:pPr>
      <w:r w:rsidRPr="00A73793">
        <w:rPr>
          <w:rStyle w:val="markedcontent"/>
          <w:rFonts w:ascii="Times New Roman" w:hAnsi="Times New Roman"/>
        </w:rPr>
        <w:t>Ha a gimnáziumi képzésben részt vevő tanuló osztályozóvizsgával teljesítette a követelményeket, majd előrehozott érettségit tesz, az osztályozóvizsga után</w:t>
      </w:r>
      <w:r w:rsidRPr="00A73793">
        <w:rPr>
          <w:rFonts w:ascii="Times New Roman" w:hAnsi="Times New Roman"/>
          <w:szCs w:val="24"/>
        </w:rPr>
        <w:br/>
      </w:r>
      <w:r w:rsidRPr="00A73793">
        <w:rPr>
          <w:rStyle w:val="markedcontent"/>
          <w:rFonts w:ascii="Times New Roman" w:hAnsi="Times New Roman"/>
        </w:rPr>
        <w:t>nyilatkoznia kell, hogy - az adott tárgy óráit (szinten tartás vagy emelt szintre készülés</w:t>
      </w:r>
      <w:r w:rsidRPr="00A73793">
        <w:rPr>
          <w:rFonts w:ascii="Times New Roman" w:hAnsi="Times New Roman"/>
          <w:szCs w:val="24"/>
        </w:rPr>
        <w:br/>
      </w:r>
      <w:r w:rsidRPr="00A73793">
        <w:rPr>
          <w:rStyle w:val="markedcontent"/>
          <w:rFonts w:ascii="Times New Roman" w:hAnsi="Times New Roman"/>
        </w:rPr>
        <w:t xml:space="preserve">miatt) a következő tanévtől látogatni szeretné, - vagy a tantárgy óráinak látogatása alól felmentést kér. Ha a tanuló a tantárgyat továbbra is tanulni szeretné, a tanórára járás </w:t>
      </w:r>
      <w:r w:rsidR="00DA0E47">
        <w:rPr>
          <w:rStyle w:val="markedcontent"/>
          <w:rFonts w:ascii="Times New Roman" w:hAnsi="Times New Roman"/>
        </w:rPr>
        <w:t>a</w:t>
      </w:r>
      <w:r w:rsidR="002F0CC3">
        <w:rPr>
          <w:rStyle w:val="markedcontent"/>
          <w:rFonts w:ascii="Times New Roman" w:hAnsi="Times New Roman"/>
        </w:rPr>
        <w:t xml:space="preserve">z egész tanévben </w:t>
      </w:r>
      <w:r w:rsidRPr="00A73793">
        <w:rPr>
          <w:rStyle w:val="markedcontent"/>
          <w:rFonts w:ascii="Times New Roman" w:hAnsi="Times New Roman"/>
        </w:rPr>
        <w:t xml:space="preserve">kötelező. A tárgyat legközelebb a következő tanév elején lehet leadni. </w:t>
      </w:r>
    </w:p>
    <w:p w14:paraId="5D8D5A7B" w14:textId="77777777" w:rsidR="00105A8B" w:rsidRPr="00A73793" w:rsidRDefault="00105A8B" w:rsidP="00105A8B">
      <w:pPr>
        <w:spacing w:before="120" w:line="276" w:lineRule="auto"/>
        <w:ind w:left="567"/>
        <w:jc w:val="both"/>
        <w:rPr>
          <w:rStyle w:val="markedcontent"/>
          <w:rFonts w:ascii="Times New Roman" w:hAnsi="Times New Roman"/>
        </w:rPr>
      </w:pPr>
      <w:r w:rsidRPr="00A73793">
        <w:rPr>
          <w:rStyle w:val="markedcontent"/>
          <w:rFonts w:ascii="Times New Roman" w:hAnsi="Times New Roman"/>
        </w:rPr>
        <w:t xml:space="preserve">Ha a tanuló a tantárgyat nem kívánja tovább tanulni, javasoljuk a más órákra, versenyekre készülést, melynek ideális helye az iskola könyvtára. Az iskola épületét az 5. óra végéig a lyukas órákban sem hagyhatja el a tanuló. </w:t>
      </w:r>
    </w:p>
    <w:p w14:paraId="12D50A8F" w14:textId="77777777" w:rsidR="00105A8B" w:rsidRPr="00A73793" w:rsidRDefault="00105A8B" w:rsidP="00105A8B">
      <w:pPr>
        <w:spacing w:before="120" w:line="276" w:lineRule="auto"/>
        <w:ind w:left="567"/>
        <w:jc w:val="both"/>
        <w:rPr>
          <w:rStyle w:val="markedcontent"/>
          <w:rFonts w:ascii="Times New Roman" w:hAnsi="Times New Roman"/>
        </w:rPr>
      </w:pPr>
      <w:r w:rsidRPr="00A73793">
        <w:rPr>
          <w:rStyle w:val="markedcontent"/>
          <w:rFonts w:ascii="Times New Roman" w:hAnsi="Times New Roman"/>
        </w:rPr>
        <w:t>Lehetőség van egy 3. idegen nyelv tanulására is (német vagy francia) erről a szándékról szintén a sikeres osztályozóvizsgát követően kell nyilatkozni. Egy csoport elindulásához legalább 12 fő jelentkezésére van szükség. Amennyiben a tanuló ezt a lehetőséget választja, a tanórára járás kötelező. A tárgyat legközelebb a következő tanév elején lehet leadni.</w:t>
      </w:r>
    </w:p>
    <w:p w14:paraId="1202DCAE" w14:textId="07475DBE" w:rsidR="00105A8B" w:rsidRPr="00A73793" w:rsidRDefault="00105A8B" w:rsidP="00105A8B">
      <w:pPr>
        <w:spacing w:before="120" w:line="276" w:lineRule="auto"/>
        <w:ind w:left="567"/>
        <w:jc w:val="both"/>
        <w:rPr>
          <w:rStyle w:val="markedcontent"/>
          <w:rFonts w:ascii="Times New Roman" w:hAnsi="Times New Roman"/>
        </w:rPr>
      </w:pPr>
      <w:r w:rsidRPr="00A73793">
        <w:rPr>
          <w:rStyle w:val="markedcontent"/>
          <w:rFonts w:ascii="Times New Roman" w:hAnsi="Times New Roman"/>
        </w:rPr>
        <w:t>A technikumban tanulóknak a sikeres osztályozóvizsgát követően nyilatkozniuk kell, hogy - az adott tárgy óráit (szinten tartás vagy emelt szintre készülés miatt) a következő tanévtől látogatni szeretnék, - vagy a tantárgy óráinak látogatása alól felmentést kérnek. Ha a tanuló a tantárgyat továbbra is tanulni szeretné, a tanórára járás</w:t>
      </w:r>
      <w:r w:rsidR="002F0CC3">
        <w:rPr>
          <w:rStyle w:val="markedcontent"/>
          <w:rFonts w:ascii="Times New Roman" w:hAnsi="Times New Roman"/>
        </w:rPr>
        <w:t xml:space="preserve"> az egész tanévben</w:t>
      </w:r>
      <w:r w:rsidRPr="00A73793">
        <w:rPr>
          <w:rStyle w:val="markedcontent"/>
          <w:rFonts w:ascii="Times New Roman" w:hAnsi="Times New Roman"/>
        </w:rPr>
        <w:t xml:space="preserve"> kötelező. A tárgyat legközelebb a következő tanév elején lehet leadni. </w:t>
      </w:r>
    </w:p>
    <w:p w14:paraId="12D8B2B1" w14:textId="77777777" w:rsidR="00105A8B" w:rsidRPr="00A73793" w:rsidRDefault="00105A8B" w:rsidP="00105A8B">
      <w:pPr>
        <w:spacing w:before="120" w:line="276" w:lineRule="auto"/>
        <w:ind w:left="567"/>
        <w:jc w:val="both"/>
        <w:rPr>
          <w:rStyle w:val="markedcontent"/>
          <w:rFonts w:ascii="Times New Roman" w:hAnsi="Times New Roman"/>
        </w:rPr>
      </w:pPr>
      <w:r w:rsidRPr="00A73793">
        <w:rPr>
          <w:rStyle w:val="markedcontent"/>
          <w:rFonts w:ascii="Times New Roman" w:hAnsi="Times New Roman"/>
        </w:rPr>
        <w:t>Ha a tanuló a tantárgyat nem kívánja tovább tanulni, javasoljuk a más órákra, versenyekre készülést, melynek ideális helye az iskola könyvtára. Az iskola épületét az 5. óra végéig a lyukas órákban sem hagyhatja el a tanuló.</w:t>
      </w:r>
    </w:p>
    <w:p w14:paraId="1E4BDB9D" w14:textId="77777777" w:rsidR="000F27CC" w:rsidRPr="001B54EF" w:rsidRDefault="00105A8B" w:rsidP="001B54EF">
      <w:pPr>
        <w:spacing w:before="120" w:line="276" w:lineRule="auto"/>
        <w:ind w:left="567"/>
        <w:jc w:val="both"/>
        <w:rPr>
          <w:rFonts w:ascii="Times New Roman" w:hAnsi="Times New Roman"/>
        </w:rPr>
      </w:pPr>
      <w:r w:rsidRPr="00A73793">
        <w:rPr>
          <w:rStyle w:val="markedcontent"/>
          <w:rFonts w:ascii="Times New Roman" w:hAnsi="Times New Roman"/>
        </w:rPr>
        <w:t>Lehetőség van 2. idegen nyelv tanulására is (német vagy francia) erről a szándékról szintén a sikeres osztályozóvizsga után kell nyilatkozni. Egy csoport elindulásához legalább 12 fő jelentkezésére van szükség. Amennyiben a tanuló ezt a lehetőséget választja, a tanórára járás kötelező. A tárgyat legközelebb a következő tanév elején lehet leadni.</w:t>
      </w:r>
    </w:p>
    <w:sectPr w:rsidR="000F27CC" w:rsidRPr="001B54EF" w:rsidSect="001B54E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8B"/>
    <w:rsid w:val="000F27CC"/>
    <w:rsid w:val="00105A8B"/>
    <w:rsid w:val="00177D51"/>
    <w:rsid w:val="001B54EF"/>
    <w:rsid w:val="002F0CC3"/>
    <w:rsid w:val="00374F76"/>
    <w:rsid w:val="007364F5"/>
    <w:rsid w:val="00825E18"/>
    <w:rsid w:val="00C92B74"/>
    <w:rsid w:val="00DA0E47"/>
    <w:rsid w:val="00EC08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30062"/>
  <w15:chartTrackingRefBased/>
  <w15:docId w15:val="{F7C4EA6D-5D7E-44DB-A6F1-E760E291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05A8B"/>
    <w:pPr>
      <w:spacing w:after="0" w:line="240" w:lineRule="auto"/>
    </w:pPr>
    <w:rPr>
      <w:rFonts w:ascii="Garamond" w:eastAsia="Times New Roman" w:hAnsi="Garamond"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105A8B"/>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rkedcontent">
    <w:name w:val="markedcontent"/>
    <w:basedOn w:val="Bekezdsalapbettpusa"/>
    <w:rsid w:val="00105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caec4cb-1104-421a-8d08-2a4c70d4e9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92DAA2D9D9210841BD259B9BDFC03B2D" ma:contentTypeVersion="15" ma:contentTypeDescription="Új dokumentum létrehozása." ma:contentTypeScope="" ma:versionID="0d6be681c3e9c6ec7ffcea63cbad3de4">
  <xsd:schema xmlns:xsd="http://www.w3.org/2001/XMLSchema" xmlns:xs="http://www.w3.org/2001/XMLSchema" xmlns:p="http://schemas.microsoft.com/office/2006/metadata/properties" xmlns:ns3="ecaec4cb-1104-421a-8d08-2a4c70d4e9f4" xmlns:ns4="fce68e49-bb2f-4613-9d45-1855f922c34e" targetNamespace="http://schemas.microsoft.com/office/2006/metadata/properties" ma:root="true" ma:fieldsID="b6045380454aa7dbe8b2bb66f817b99f" ns3:_="" ns4:_="">
    <xsd:import namespace="ecaec4cb-1104-421a-8d08-2a4c70d4e9f4"/>
    <xsd:import namespace="fce68e49-bb2f-4613-9d45-1855f922c3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ec4cb-1104-421a-8d08-2a4c70d4e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e68e49-bb2f-4613-9d45-1855f922c34e"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element name="SharingHintHash" ma:index="20" nillable="true" ma:displayName="Megosztási tipp kivonat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554F1C-2AAE-4B46-9C86-1BEC33C7308E}">
  <ds:schemaRefs>
    <ds:schemaRef ds:uri="http://schemas.microsoft.com/office/2006/metadata/properties"/>
    <ds:schemaRef ds:uri="http://schemas.microsoft.com/office/infopath/2007/PartnerControls"/>
    <ds:schemaRef ds:uri="ecaec4cb-1104-421a-8d08-2a4c70d4e9f4"/>
  </ds:schemaRefs>
</ds:datastoreItem>
</file>

<file path=customXml/itemProps2.xml><?xml version="1.0" encoding="utf-8"?>
<ds:datastoreItem xmlns:ds="http://schemas.openxmlformats.org/officeDocument/2006/customXml" ds:itemID="{70CB0A00-1A3F-46CF-9CE6-DDADD3A71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ec4cb-1104-421a-8d08-2a4c70d4e9f4"/>
    <ds:schemaRef ds:uri="fce68e49-bb2f-4613-9d45-1855f922c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BF829-F83E-4A26-B44E-7A360A950C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5425</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Szlobodnikné Kiss Edit</dc:creator>
  <cp:keywords/>
  <dc:description/>
  <cp:lastModifiedBy>Oszlár Katalin</cp:lastModifiedBy>
  <cp:revision>2</cp:revision>
  <dcterms:created xsi:type="dcterms:W3CDTF">2023-02-10T08:33:00Z</dcterms:created>
  <dcterms:modified xsi:type="dcterms:W3CDTF">2023-02-10T08:33:00Z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0x01010092DAA2D9D9210841BD259B9BDFC03B2D</vt:lpwstr>
  </property>
</Properties>
</file>